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1F558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F5583" w:rsidRDefault="00A859C0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5583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F5583" w:rsidRDefault="00A859C0">
            <w:pPr>
              <w:pStyle w:val="ConsPlusTitlePage0"/>
              <w:jc w:val="center"/>
            </w:pPr>
            <w:r>
              <w:rPr>
                <w:sz w:val="48"/>
              </w:rPr>
              <w:t>Приказ Минздрава России от 01.07.2021 N 698н</w:t>
            </w:r>
            <w:r>
              <w:rPr>
                <w:sz w:val="48"/>
              </w:rPr>
              <w:br/>
              <w:t>"Об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порядке"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(Зарегистрировано в Минюсте России 07.07.2021 N 64157)</w:t>
            </w:r>
          </w:p>
        </w:tc>
      </w:tr>
      <w:tr w:rsidR="001F558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F5583" w:rsidRDefault="00A859C0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</w:t>
              </w:r>
              <w:r>
                <w:rPr>
                  <w:b/>
                  <w:color w:val="0000FF"/>
                  <w:sz w:val="28"/>
                </w:rPr>
                <w:t>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17.02.2025</w:t>
            </w:r>
            <w:r>
              <w:rPr>
                <w:sz w:val="28"/>
              </w:rPr>
              <w:br/>
              <w:t> </w:t>
            </w:r>
          </w:p>
        </w:tc>
      </w:tr>
    </w:tbl>
    <w:p w:rsidR="001F5583" w:rsidRDefault="001F5583">
      <w:pPr>
        <w:pStyle w:val="ConsPlusNormal0"/>
        <w:sectPr w:rsidR="001F558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F5583" w:rsidRDefault="001F5583">
      <w:pPr>
        <w:pStyle w:val="ConsPlusNormal0"/>
        <w:jc w:val="both"/>
        <w:outlineLvl w:val="0"/>
      </w:pPr>
    </w:p>
    <w:p w:rsidR="001F5583" w:rsidRDefault="00A859C0">
      <w:pPr>
        <w:pStyle w:val="ConsPlusNormal0"/>
        <w:outlineLvl w:val="0"/>
      </w:pPr>
      <w:r>
        <w:t>Зарегистрировано в Минюсте России 7 июля 2021 г. N 64157</w:t>
      </w:r>
    </w:p>
    <w:p w:rsidR="001F5583" w:rsidRDefault="001F558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F5583" w:rsidRDefault="001F5583">
      <w:pPr>
        <w:pStyle w:val="ConsPlusNormal0"/>
        <w:jc w:val="both"/>
      </w:pPr>
    </w:p>
    <w:p w:rsidR="001F5583" w:rsidRDefault="00A859C0">
      <w:pPr>
        <w:pStyle w:val="ConsPlusTitle0"/>
        <w:jc w:val="center"/>
      </w:pPr>
      <w:r>
        <w:t>МИНИСТЕРСТВО ЗДРАВООХРАНЕНИЯ РОССИЙСКОЙ ФЕДЕРАЦИИ</w:t>
      </w:r>
    </w:p>
    <w:p w:rsidR="001F5583" w:rsidRDefault="001F5583">
      <w:pPr>
        <w:pStyle w:val="ConsPlusTitle0"/>
        <w:jc w:val="center"/>
      </w:pPr>
    </w:p>
    <w:p w:rsidR="001F5583" w:rsidRDefault="00A859C0">
      <w:pPr>
        <w:pStyle w:val="ConsPlusTitle0"/>
        <w:jc w:val="center"/>
      </w:pPr>
      <w:r>
        <w:t>ПРИКАЗ</w:t>
      </w:r>
    </w:p>
    <w:p w:rsidR="001F5583" w:rsidRDefault="00A859C0">
      <w:pPr>
        <w:pStyle w:val="ConsPlusTitle0"/>
        <w:jc w:val="center"/>
      </w:pPr>
      <w:r>
        <w:t>от 1 июля 2021 г. N 698н</w:t>
      </w:r>
    </w:p>
    <w:p w:rsidR="001F5583" w:rsidRDefault="001F5583">
      <w:pPr>
        <w:pStyle w:val="ConsPlusTitle0"/>
        <w:jc w:val="center"/>
      </w:pPr>
    </w:p>
    <w:p w:rsidR="001F5583" w:rsidRDefault="00A859C0">
      <w:pPr>
        <w:pStyle w:val="ConsPlusTitle0"/>
        <w:jc w:val="center"/>
      </w:pPr>
      <w:r>
        <w:t>ОБ УТВЕРЖДЕНИИ ПОРЯДКА</w:t>
      </w:r>
    </w:p>
    <w:p w:rsidR="001F5583" w:rsidRDefault="00A859C0">
      <w:pPr>
        <w:pStyle w:val="ConsPlusTitle0"/>
        <w:jc w:val="center"/>
      </w:pPr>
      <w:r>
        <w:t>НАПРАВЛЕНИЯ ГРАЖДАН НА ПРОХОЖДЕНИЕ УГЛУБЛЕННОЙ</w:t>
      </w:r>
    </w:p>
    <w:p w:rsidR="001F5583" w:rsidRDefault="00A859C0">
      <w:pPr>
        <w:pStyle w:val="ConsPlusTitle0"/>
        <w:jc w:val="center"/>
      </w:pPr>
      <w:r>
        <w:t>ДИСПАНСЕРИЗАЦИИ, ВКЛЮЧАЯ КАТЕГОРИИ ГРАЖДАН, ПРОХОДЯЩИХ</w:t>
      </w:r>
    </w:p>
    <w:p w:rsidR="001F5583" w:rsidRDefault="00A859C0">
      <w:pPr>
        <w:pStyle w:val="ConsPlusTitle0"/>
        <w:jc w:val="center"/>
      </w:pPr>
      <w:r>
        <w:t>УГЛУБЛЕННУЮ ДИСПАНСЕРИЗАЦИЮ В ПЕРВООЧЕРЕДНОМ ПОРЯДКЕ</w:t>
      </w:r>
    </w:p>
    <w:p w:rsidR="001F5583" w:rsidRDefault="001F5583">
      <w:pPr>
        <w:pStyle w:val="ConsPlusNormal0"/>
        <w:jc w:val="center"/>
      </w:pPr>
    </w:p>
    <w:p w:rsidR="001F5583" w:rsidRDefault="00A859C0">
      <w:pPr>
        <w:pStyle w:val="ConsPlusNormal0"/>
        <w:ind w:firstLine="540"/>
        <w:jc w:val="both"/>
      </w:pPr>
      <w:r>
        <w:t>В соответствии с абзацем двадцать третьим раздела IV</w:t>
      </w:r>
      <w:r>
        <w:t xml:space="preserve"> Программы государственных гарантий бесплатного оказания гражданам медицинской помощи на 2021 год и на плановый период 2022 и 2023 годов, утвержденной постановлением Правительства Российской Федерации от 28 декабря 2020 г. N 2299 (Собрание законодательства</w:t>
      </w:r>
      <w:r>
        <w:t xml:space="preserve"> Российской Федерации, 2021, N 2, ст. 384; Официальный интернет-портал правовой информации (</w:t>
      </w:r>
      <w:hyperlink r:id="rId9">
        <w:r>
          <w:rPr>
            <w:color w:val="0000FF"/>
          </w:rPr>
          <w:t>www.pravo.gov.ru</w:t>
        </w:r>
      </w:hyperlink>
      <w:r>
        <w:t>), 2021, 19 июня, N 0001202106190007), приказываю: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Утвердить прилагаемый </w:t>
      </w:r>
      <w:hyperlink w:anchor="P31" w:tooltip="ПОРЯДОК">
        <w:r>
          <w:rPr>
            <w:color w:val="0000FF"/>
          </w:rPr>
          <w:t>П</w:t>
        </w:r>
        <w:r>
          <w:rPr>
            <w:color w:val="0000FF"/>
          </w:rPr>
          <w:t>орядок</w:t>
        </w:r>
      </w:hyperlink>
      <w:r>
        <w:t xml:space="preserve">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jc w:val="right"/>
      </w:pPr>
      <w:r>
        <w:t>Министр</w:t>
      </w:r>
    </w:p>
    <w:p w:rsidR="001F5583" w:rsidRDefault="00A859C0">
      <w:pPr>
        <w:pStyle w:val="ConsPlusNormal0"/>
        <w:jc w:val="right"/>
      </w:pPr>
      <w:r>
        <w:t>М.А.МУРАШКО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jc w:val="right"/>
        <w:outlineLvl w:val="0"/>
      </w:pPr>
      <w:r>
        <w:t>Приложение</w:t>
      </w:r>
    </w:p>
    <w:p w:rsidR="001F5583" w:rsidRDefault="001F5583">
      <w:pPr>
        <w:pStyle w:val="ConsPlusNormal0"/>
        <w:jc w:val="right"/>
      </w:pPr>
    </w:p>
    <w:p w:rsidR="001F5583" w:rsidRDefault="00A859C0">
      <w:pPr>
        <w:pStyle w:val="ConsPlusNormal0"/>
        <w:jc w:val="right"/>
      </w:pPr>
      <w:r>
        <w:t>Утвержден</w:t>
      </w:r>
    </w:p>
    <w:p w:rsidR="001F5583" w:rsidRDefault="00A859C0">
      <w:pPr>
        <w:pStyle w:val="ConsPlusNormal0"/>
        <w:jc w:val="right"/>
      </w:pPr>
      <w:r>
        <w:t>приказом Министерства здравоохранения</w:t>
      </w:r>
    </w:p>
    <w:p w:rsidR="001F5583" w:rsidRDefault="00A859C0">
      <w:pPr>
        <w:pStyle w:val="ConsPlusNormal0"/>
        <w:jc w:val="right"/>
      </w:pPr>
      <w:r>
        <w:t>Российс</w:t>
      </w:r>
      <w:r>
        <w:t>кой Федерации</w:t>
      </w:r>
    </w:p>
    <w:p w:rsidR="001F5583" w:rsidRDefault="00A859C0">
      <w:pPr>
        <w:pStyle w:val="ConsPlusNormal0"/>
        <w:jc w:val="right"/>
      </w:pPr>
      <w:r>
        <w:t>от 1 июля 2021 г. N 698н</w:t>
      </w:r>
    </w:p>
    <w:p w:rsidR="001F5583" w:rsidRDefault="001F5583">
      <w:pPr>
        <w:pStyle w:val="ConsPlusNormal0"/>
        <w:jc w:val="center"/>
      </w:pPr>
    </w:p>
    <w:p w:rsidR="001F5583" w:rsidRDefault="00A859C0">
      <w:pPr>
        <w:pStyle w:val="ConsPlusTitle0"/>
        <w:jc w:val="center"/>
      </w:pPr>
      <w:bookmarkStart w:id="0" w:name="P31"/>
      <w:bookmarkEnd w:id="0"/>
      <w:r>
        <w:t>ПОРЯДОК</w:t>
      </w:r>
    </w:p>
    <w:p w:rsidR="001F5583" w:rsidRDefault="00A859C0">
      <w:pPr>
        <w:pStyle w:val="ConsPlusTitle0"/>
        <w:jc w:val="center"/>
      </w:pPr>
      <w:r>
        <w:t>НАПРАВЛЕНИЯ ГРАЖДАН НА ПРОХОЖДЕНИЕ УГЛУБЛЕННОЙ</w:t>
      </w:r>
    </w:p>
    <w:p w:rsidR="001F5583" w:rsidRDefault="00A859C0">
      <w:pPr>
        <w:pStyle w:val="ConsPlusTitle0"/>
        <w:jc w:val="center"/>
      </w:pPr>
      <w:r>
        <w:t>ДИСПАНСЕРИЗАЦИИ, ВКЛЮЧАЯ КАТЕГОРИИ ГРАЖДАН, ПРОХОДЯЩИХ</w:t>
      </w:r>
    </w:p>
    <w:p w:rsidR="001F5583" w:rsidRDefault="00A859C0">
      <w:pPr>
        <w:pStyle w:val="ConsPlusTitle0"/>
        <w:jc w:val="center"/>
      </w:pPr>
      <w:r>
        <w:t>УГЛУБЛЕННУЮ ДИСПАНСЕРИЗАЦИЮ В ПЕРВООЧЕРЕДНОМ ПОРЯДКЕ</w:t>
      </w:r>
    </w:p>
    <w:p w:rsidR="001F5583" w:rsidRDefault="001F5583">
      <w:pPr>
        <w:pStyle w:val="ConsPlusNormal0"/>
        <w:jc w:val="center"/>
      </w:pPr>
    </w:p>
    <w:p w:rsidR="001F5583" w:rsidRDefault="00A859C0">
      <w:pPr>
        <w:pStyle w:val="ConsPlusNormal0"/>
        <w:ind w:firstLine="540"/>
        <w:jc w:val="both"/>
      </w:pPr>
      <w:r>
        <w:t>1. Настоящий Порядок регулирует вопросы направления взрослых (в возрасте 18 лет и старше) на прохождение углубленной диспансеризации, включая категории граждан, проходящих углубленную диспансеризацию в первоочередном порядке (далее - граждане).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lastRenderedPageBreak/>
        <w:t>2. Углублен</w:t>
      </w:r>
      <w:r>
        <w:t>ную диспансеризацию вправе пройти граждане, переболевшие новой коронавирусной инфекцией COVID-19.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Углубленная диспансеризация также может быть проведена по инициативе гражданина, в отношении которого отсутствуют сведения о перенесенном заболевании новой ко</w:t>
      </w:r>
      <w:r>
        <w:t>ронавирусной инфекцией COVID-19, при подаче им заявления на имя руководителя медицинской организации, выбранной гражданином для оказания первичной медико-санитарной помощи в рамках программы государственных гарантий бесплатного оказания гражданам медицинск</w:t>
      </w:r>
      <w:r>
        <w:t>ой помощи в соответствии с законодательством Российской Федерации (далее - медицинская организация), о его желании пройти углубленную диспансеризацию, оформленного в произвольной форме в письменном виде.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Категории граждан, проходящих углубленную диспансери</w:t>
      </w:r>
      <w:r>
        <w:t xml:space="preserve">зацию в первоочередном порядке, определены в </w:t>
      </w:r>
      <w:hyperlink w:anchor="P105" w:tooltip="КАТЕГОРИИ">
        <w:r>
          <w:rPr>
            <w:color w:val="0000FF"/>
          </w:rPr>
          <w:t>приложении</w:t>
        </w:r>
      </w:hyperlink>
      <w:r>
        <w:t xml:space="preserve"> к настоящему Порядку (далее - категории).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3. В случае отсутствия у медицинской организации лицензии на осуществление медицинской деятельности по отдельным видам работ (услуг), необходимым для проведения углубленной диспансеризации, медицинская организация направляет гражданина в иную медицинскую о</w:t>
      </w:r>
      <w:r>
        <w:t>рганизацию, имеющую лицензию на требуемые виды работ (услуг).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4. Руководитель медицинской организации, врачи-терапевты, врачи-терапевты участковые, врачи общей практики (семейные врачи), врачи-терапевты цехового врачебного участка, врачи по медицинской про</w:t>
      </w:r>
      <w:r>
        <w:t>филактике медицинской организации являются ответственными за проведение углубленной диспансеризации. Фельдшер является ответственным за проведение углубленной диспансеризации населения фельдшерского участка в случае возложения на него отдельных функций леч</w:t>
      </w:r>
      <w:r>
        <w:t>ащего врача по непосредственному оказанию медицинской помощи пациенту в период наблюдения за ним и его лечения &lt;1&gt; (далее - медицинские работники, ответственные за проведение углубленной диспансеризации).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0" w:tooltip="Приказ Минздравсоцразвития России от 23.03.2012 N 252н (ред. от 31.10.2017) &quot;Об утверждении Порядка возложения 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23 марта 2012 г. N 252н "Об утверждении Порядка возложения на фельдшера, акушерку р</w:t>
      </w:r>
      <w:r>
        <w:t>уководителем медицинской организации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</w:t>
      </w:r>
      <w:r>
        <w:t>, в том числе по назначению и применению лекарственных препаратов, включая наркотические лекарственные препараты и психотропные лекарственные препараты" (зарегистрирован Министерством юстиции Российской Федерации 28 апреля 2012 г., регистрационный N 23971)</w:t>
      </w:r>
      <w:r>
        <w:t xml:space="preserve"> с изменениями, внесенными приказом Министерства здравоохранения Российской Федерации от 31 октября 2017 г. N 882н (зарегистрирован Министерством юстиции Российской Федерации 9 января 2018 г., регистрационный N 49561).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5. В целях организации проведения уг</w:t>
      </w:r>
      <w:r>
        <w:t>лубленной диспансеризации медицинской организацией на основании сведений региональных информационных систем обязательного медицинского страхования, интегрированных с государственной информационной системой обязательного медицинского страхования &lt;2&gt;, состав</w:t>
      </w:r>
      <w:r>
        <w:t>ляется поименный перечень граждан, подлежащих углубленной диспансеризации (далее - перечень граждан), в котором указываются следующие сведения: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&lt;2&gt; </w:t>
      </w:r>
      <w:hyperlink r:id="rId11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Часть 7 статьи 44.1</w:t>
        </w:r>
      </w:hyperlink>
      <w:r>
        <w:t xml:space="preserve"> Федерального закона от 29 ноября 2010 г. N 326-Ф</w:t>
      </w:r>
      <w:r>
        <w:t>З "Об обязательном медицинском страховании в Российской Федерации" (Собрание законодательства Российской Федерации, 2010, N 49; ст. 6422; 2020, N 50, ст. 8075).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1) фамилия, имя, отчество (при наличии), возраст (дата, месяц, год рождения);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2) номер полиса </w:t>
      </w:r>
      <w:r>
        <w:t>обязательного медицинского страхования гражданина;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3) категория, к которой относится гражданин;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4) планируемые дата и место проведения углубленной диспансеризации.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Перечень граждан подлежит ежемесячной актуализации медицинской организацией.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6. Планируемая </w:t>
      </w:r>
      <w:r>
        <w:t>дата проведения углубленной диспансеризации устанавливается не ранее 60 календарных дней после выздоровления &lt;3&gt; гражданина, перенесшего новую коронавирусную инфекцию COVID-19, при оказании ему медицинской помощи в амбулаторных условиях или в условиях стац</w:t>
      </w:r>
      <w:r>
        <w:t>ионара.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12" w:tooltip="Приказ Минздрава России от 19.03.2020 N 198н (ред. от 26.12.2023) &quot;О временном порядке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-19&quot; (вместе с &quot;Порядк">
        <w:r>
          <w:rPr>
            <w:color w:val="0000FF"/>
          </w:rPr>
          <w:t>Приложение N 13</w:t>
        </w:r>
      </w:hyperlink>
      <w:r>
        <w:t xml:space="preserve"> к приказу Министерства здравоохранения Российской Федерации от 19 марта</w:t>
      </w:r>
      <w:r>
        <w:t xml:space="preserve"> 2020 г. N 198н "О временном порядке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COVID-19" (зарегистрирован Министерством юстиции Российской Федерации 19 </w:t>
      </w:r>
      <w:r>
        <w:t>марта 2020 г., регистрационный N 57786) с изменениями, внесенными приказами Министерства здравоохранения Российской Федерации от 27 марта 2020 г. N 246н (зарегистрирован Министерством юстиции Российской Федерации 27 марта 2020 г., регистрационный N 57860),</w:t>
      </w:r>
      <w:r>
        <w:t xml:space="preserve"> от 2 апреля 2020 г. N 264н (зарегистрирован Министерством юстиции Российской Федерации 3 апреля 2020 г., регистрационный N 57956), от 29 апреля 2020 г. N 385н (зарегистрирован Министерством юстиции Российской Федерации 30 апреля 2020 г., регистрационный N</w:t>
      </w:r>
      <w:r>
        <w:t xml:space="preserve"> 58255), от 18 мая 2020 г. N 459н (зарегистрирован Министерством юстиции Российской Федерации 25 мая 2020 г., регистрационный N 58449), от 29 мая 2020 г. N 513н (зарегистрирован Министерством юстиции Российской Федерации 3 июня 2020 г., регистрационный N 5</w:t>
      </w:r>
      <w:r>
        <w:t>8560), от 7 июля 2020 г. N 685н (зарегистрирован Министерством юстиции Российской Федерации 13 июля 2020 г., регистрационный N 58913), от 27 августа 2020 г. N 905н (зарегистрирован Министерством юстиции Российской Федерации 4 сентября 2020 г., регистрацион</w:t>
      </w:r>
      <w:r>
        <w:t>ный N 59645), от 15 сентября 2020 г. N 982н (зарегистрирован Министерством юстиции Российской Федерации 17 сентября 2020 г., регистрационный N 59939), от 1 октября 2020 г. N 1062н (зарегистрирован Министерством юстиции Российской Федерации 7 октября 2020 г</w:t>
      </w:r>
      <w:r>
        <w:t>., регистрационный N 60279), от 23 октября 2020 г. N 1140н (зарегистрирован Министерством юстиции Российской Федерации 28 октября 2020 г., регистрационный N 60610), от 30 октября 2020 г. N 1184н (зарегистрирован Министерством юстиции Российской Федерации 1</w:t>
      </w:r>
      <w:r>
        <w:t>2 ноября 2020 г., регистрационный N 60860), от 4 декабря 2020 г. N 1288н (зарегистрирован Министерством юстиции Российской Федерации 15 декабря 2020 г., регистрационный N 61475) и от 23 марта 2021 г. N 232н (зарегистрирован Министерством юстиции Российской</w:t>
      </w:r>
      <w:r>
        <w:t xml:space="preserve"> Федерации 15 апреля 2021 г., регистрационный N 63143).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7. На основании перечня граждан медицинская организация формирует и ведет календарный план проведения углубленной диспансеризации с указанием осмотров врачами-специалистами, лабораторных, инструмента</w:t>
      </w:r>
      <w:r>
        <w:t>льных и иных исследований, дат и мест их проведения, числа граждан (далее - календарный план).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При планировании даты проведения углубленной диспансеризации гражданина, составлении перечня граждан, подлежащих углубленной диспансеризации, а также при актуали</w:t>
      </w:r>
      <w:r>
        <w:t>зации указанного перечня учитывается категория, к которой относится гражданин.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8. Перечень граждан и календарный план доводятся до сведения медицинских работников, участвующих в проведении углубленной диспансеризации, в том числе медицинских работников, от</w:t>
      </w:r>
      <w:r>
        <w:t>ветственных за проведение углубленной диспансеризации.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9. Территориальный фонд обязательного медицинского страхования, медицинская организация осуществляют информационное взаимодействие со страховыми медицинскими организациями в целях организации информиро</w:t>
      </w:r>
      <w:r>
        <w:t xml:space="preserve">вания граждан, подлежащих углубленной диспансеризации, или их законных представителей о возможности прохождения углубленной диспансеризации в соответствии с </w:t>
      </w:r>
      <w:hyperlink r:id="rId13" w:tooltip="Приказ Минздрава России от 28.02.2019 N 108н (ред. от 04.09.2024) &quot;Об утверждении Правил обязательного медицинского страхования&quot; (Зарегистрировано в Минюсте России 17.05.2019 N 54643) {КонсультантПлюс}">
        <w:r>
          <w:rPr>
            <w:color w:val="0000FF"/>
          </w:rPr>
          <w:t>Правилами</w:t>
        </w:r>
      </w:hyperlink>
      <w:r>
        <w:t xml:space="preserve"> обязательного медицинс</w:t>
      </w:r>
      <w:r>
        <w:t>кого страхования, утвержденными приказом Министерства здравоохранения Российской Федерации от 28 февраля 2019 г. N 108н &lt;4&gt;.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&lt;4&gt;</w:t>
      </w:r>
      <w:r>
        <w:t xml:space="preserve"> Зарегистрирован Министерством юстиции Российской Федерации 17 мая 2019 г., регистрационный N 54643, с изменениями, внесенными приказами Министерства здравоохранения Российской Федерации от 9 апреля 2020 г. N 299н (зарегистрирован Министерством юстиции Рос</w:t>
      </w:r>
      <w:r>
        <w:t>сийской Федерации 14 апреля 2020 г., регистрационный N 58074), от 25 сентября 2020 г. N 1024н (зарегистрирован Министерством юстиции Российской Федерации 14 октября 2020 г., регистрационный N 60369), от 10 февраля 2021 г. N 65н (зарегистрирован Министерств</w:t>
      </w:r>
      <w:r>
        <w:t>ом юстиции Российской Федерации 17 марта 2021 г., регистрационный N 62797), от 26 марта 2021 г. N 254н (зарегистрирован Министерством юстиции Российской Федерации 22 апреля 2021 г., регистрационный N 63210).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10. Перечень граждан направляется медицинской о</w:t>
      </w:r>
      <w:r>
        <w:t xml:space="preserve">рганизацией в территориальный фонд обязательного медицинского страхования, который доводит его до страховых медицинских организаций путем размещения в государственной информационной системе обязательного медицинского страхования. Информирование страховыми </w:t>
      </w:r>
      <w:r>
        <w:t>медицинскими организациями застрахованных граждан о возможности пройти углубленную диспансеризацию осуществляется с использованием федеральной государственной информационной системы "Единый портал государственных и муниципальных услуг (функций)" (далее - Е</w:t>
      </w:r>
      <w:r>
        <w:t>диный портал), сети радиотелефонной связи (смс-сообщений) и иных доступных средств связи, а также организации мониторинга проведения углубленной диспансеризации.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11. Органы исполнительной власти субъектов Российской Федерации в сфере охраны здоровья обеспе</w:t>
      </w:r>
      <w:r>
        <w:t>чивают организацию прохождения гражданами углубленной диспансеризации, в том числе в вечерние часы и субботу, а также предоставляют гражданам возможность самостоятельной записи при обращении гражданина в медицинскую организацию и дистанционной записи на уг</w:t>
      </w:r>
      <w:r>
        <w:t>лубленную диспансеризацию, в том числе посредством использования Единого портала и иных информационных систем &lt;5&gt;.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&lt;5&gt; </w:t>
      </w:r>
      <w:hyperlink r:id="rId14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 5 статьи 91.1</w:t>
        </w:r>
      </w:hyperlink>
      <w:r>
        <w:t xml:space="preserve"> Федерального закона от 21 ноября 2011 г. N 323-ФЗ "Об основах охраны здоровья граж</w:t>
      </w:r>
      <w:r>
        <w:t>дан в Российской Федерации" (далее - Федеральный закон) (Собрание законодательства Российской Федерации, 2011, N 48, ст. 6724; 2017, N 31, ст. 4791).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12. Органы исполнительной власти субъектов Российской Федерации в сфере охраны здоровья обеспечивают пере</w:t>
      </w:r>
      <w:r>
        <w:t xml:space="preserve">дачу сведений о записях граждан на углубленную диспансеризацию в структурные подразделения медицинской организации, осуществляющей углубленную диспансеризацию, с использованием медицинской информационной системы медицинской организации или государственной </w:t>
      </w:r>
      <w:r>
        <w:t xml:space="preserve">информационной системы в сфере здравоохранения субъекта Российской Федерации в единую государственную информационную систему в сфере здравоохранения в течение одного рабочего дня со дня получения актуализированных данных в соответствии с </w:t>
      </w:r>
      <w:hyperlink r:id="rId15" w:tooltip="Приказ Минздрава России от 24.12.2018 N 911н &quot;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">
        <w:r>
          <w:rPr>
            <w:color w:val="0000FF"/>
          </w:rPr>
          <w:t>Требованиями</w:t>
        </w:r>
      </w:hyperlink>
      <w:r>
        <w:t xml:space="preserve"> к государственным информационным системам в сфере здравоохранения субъектов Российской Федерации, медицинским информационным системам ме</w:t>
      </w:r>
      <w:r>
        <w:t>дицинских организаций и информационным системам фармацевтических организаций, утвержденными приказом Минздрава России от 24 декабря 2018 г. N 911н &lt;6&gt;.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&lt;6&gt; Зарегистрирован Министерством юстиции Российской Федерации 19 июня </w:t>
      </w:r>
      <w:r>
        <w:t>2019 г., регистрационный N 54963.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13. При подозрении у гражданина наличия заболевания (состояния), диагноз которого не может быть установлен при проведении исследований и иных медицинских вмешательств, включенных в I этап, углубленная диспансеризация явля</w:t>
      </w:r>
      <w:r>
        <w:t xml:space="preserve">ется завершенной в случае проведения исследований и иных медицинских вмешательств, включенных во II этап углубленной диспансеризации в соответствии с перечнем, приведенным в </w:t>
      </w:r>
      <w:hyperlink r:id="rId16" w:tooltip="Постановление Правительства РФ от 28.12.2020 N 2299 (ред. от 19.11.2021) &quot;О Программе государственных гарантий бесплатного оказания гражданам медицинской помощи на 2021 год и на плановый период 2022 и 2023 годов&quot; {КонсультантПлюс}">
        <w:r>
          <w:rPr>
            <w:color w:val="0000FF"/>
          </w:rPr>
          <w:t>приложении N 4</w:t>
        </w:r>
      </w:hyperlink>
      <w:r>
        <w:t xml:space="preserve"> к Программе государственных гарантий бесплатного оказания гражданам медицинской помощи (далее - Перечень исследований).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В случае отказа гражданина (его законного представителя) от проведения одного или нескольких исследований или иных медицинских вмешательств, предусмотренных Перечнем исследований, оформленного в соответствии со </w:t>
      </w:r>
      <w:hyperlink r:id="rId17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статьей 20</w:t>
        </w:r>
      </w:hyperlink>
      <w:r>
        <w:t xml:space="preserve"> Федерального закона &lt;7&gt;, углу</w:t>
      </w:r>
      <w:r>
        <w:t>бленная диспансеризация считается завершенной в объеме проведенных исследований и иных медицинских вмешательств.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&lt;7&gt; Собрание законодательства Российской Федерации, 2011, N 48, ст. 6724; Официальный интернет-портал правовой</w:t>
      </w:r>
      <w:r>
        <w:t xml:space="preserve"> информации (</w:t>
      </w:r>
      <w:hyperlink r:id="rId18">
        <w:r>
          <w:rPr>
            <w:color w:val="0000FF"/>
          </w:rPr>
          <w:t>www.pravo.gov.ru</w:t>
        </w:r>
      </w:hyperlink>
      <w:r>
        <w:t>), 2021, 2 июля, N 0001202107020046.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 xml:space="preserve">14. При выявлении у гражданина в процессе углубленной диспансеризации медицинских показаний к проведению осмотров (консультаций) врачами-специалистами, </w:t>
      </w:r>
      <w:r>
        <w:t xml:space="preserve">исследований и иных медицинских вмешательств, не входящих в объем углубленной диспансеризации в соответствии с настоящим Порядком, они назначаются и выполняются в соответствии с положениями </w:t>
      </w:r>
      <w:hyperlink r:id="rId19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порядков</w:t>
        </w:r>
      </w:hyperlink>
      <w:r>
        <w:t xml:space="preserve"> оказания медицинской п</w:t>
      </w:r>
      <w:r>
        <w:t xml:space="preserve">омощи по профилю выявленного или предполагаемого заболевания (состояния), с учетом </w:t>
      </w:r>
      <w:hyperlink r:id="rId20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стандартов</w:t>
        </w:r>
      </w:hyperlink>
      <w:r>
        <w:t xml:space="preserve"> медицинской помощи, а также на основе клинических </w:t>
      </w:r>
      <w:hyperlink r:id="rId21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рекомендаций</w:t>
        </w:r>
      </w:hyperlink>
      <w:r>
        <w:t xml:space="preserve"> &lt;8&gt;.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</w:t>
      </w:r>
      <w:r>
        <w:t>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&lt;8&gt; </w:t>
      </w:r>
      <w:hyperlink r:id="rId22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Статья 37</w:t>
        </w:r>
      </w:hyperlink>
      <w:r>
        <w:t xml:space="preserve"> Федерального закона (Собрание законодательства Российской Федерации, 2011, N 48, ст. 6724; Официальный интернет-портал правовой информации (</w:t>
      </w:r>
      <w:hyperlink r:id="rId23">
        <w:r>
          <w:rPr>
            <w:color w:val="0000FF"/>
          </w:rPr>
          <w:t>www.pravo.gov.ru</w:t>
        </w:r>
      </w:hyperlink>
      <w:r>
        <w:t>), 2021, 2 июля, N 0001202107020046).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15. Результаты осмотров (консультаций) медицинскими работниками, исследований и иных медицинских вмешательств, входящих в объем углубленной диспансеризации, вносятся в медицинскую карту пациента, получающего медицинскую помощь в амбулаторных условиях &lt;9&gt;,</w:t>
      </w:r>
      <w:r>
        <w:t xml:space="preserve"> с пометкой "Углубленная диспансеризация".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&lt;9&gt; </w:t>
      </w:r>
      <w:hyperlink r:id="rId24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">
        <w:r>
          <w:rPr>
            <w:color w:val="0000FF"/>
          </w:rPr>
          <w:t>Приложение N 1</w:t>
        </w:r>
      </w:hyperlink>
      <w:r>
        <w:t xml:space="preserve"> к приказу Министерства здравоохране</w:t>
      </w:r>
      <w:r>
        <w:t>ния Российской Федерации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</w:t>
      </w:r>
      <w:r>
        <w:t>ван Министерством юстиции Российской Федерации 20 февраля 2015 г., регистрационный N 36160) с изменениями, внесенными приказами Министерства здравоохранения Российской Федерации от 9 февраля 2018 г. N 2н (зарегистрирован Министерством юстиции Российской Фе</w:t>
      </w:r>
      <w:r>
        <w:t>дерации 4 апреля 2018 г., регистрационный N 50614) и от 2 ноября 2020 г. N 1186н (зарегистрирован Министерством юстиции Российской Федерации 27 ноября 2020 г., регистрационный N 61121).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r>
        <w:t>В случае использования в медицинской организации медицинской информац</w:t>
      </w:r>
      <w:r>
        <w:t>ионной системы медицинской организации или государственной информационной системы в сфере здравоохранения субъекта Российской Федерации при проведении углубленной диспансеризации, результаты приемов (осмотров, консультаций) медицинскими работниками, исслед</w:t>
      </w:r>
      <w:r>
        <w:t>ований и иных медицинских вмешательств, входящих в объем углубленной диспансеризации, сформированные в форме электронных медицинских документов, представляются в единую государственную информационную систему в сфере здравоохранения, в том числе с целью пре</w:t>
      </w:r>
      <w:r>
        <w:t xml:space="preserve">доставления гражданам услуг в сфере здравоохранения в электронной форме посредством использования Единого портала и иных информационных систем, предусмотренных </w:t>
      </w:r>
      <w:hyperlink r:id="rId25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частью 5 статьи 91</w:t>
        </w:r>
      </w:hyperlink>
      <w:r>
        <w:t xml:space="preserve"> Федерального закона.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16. Проведение углубленной диспансеризации осуществляе</w:t>
      </w:r>
      <w:r>
        <w:t>тся с учетом санитарно-эпидемиологической обстановки в субъекте Российской Федерации.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jc w:val="right"/>
        <w:outlineLvl w:val="1"/>
      </w:pPr>
      <w:r>
        <w:t>Приложение</w:t>
      </w:r>
    </w:p>
    <w:p w:rsidR="001F5583" w:rsidRDefault="00A859C0">
      <w:pPr>
        <w:pStyle w:val="ConsPlusNormal0"/>
        <w:jc w:val="right"/>
      </w:pPr>
      <w:r>
        <w:t>к Порядку направления граждан</w:t>
      </w:r>
    </w:p>
    <w:p w:rsidR="001F5583" w:rsidRDefault="00A859C0">
      <w:pPr>
        <w:pStyle w:val="ConsPlusNormal0"/>
        <w:jc w:val="right"/>
      </w:pPr>
      <w:r>
        <w:t>на прохождение углубленной</w:t>
      </w:r>
    </w:p>
    <w:p w:rsidR="001F5583" w:rsidRDefault="00A859C0">
      <w:pPr>
        <w:pStyle w:val="ConsPlusNormal0"/>
        <w:jc w:val="right"/>
      </w:pPr>
      <w:r>
        <w:t>диспансеризации, включая категории</w:t>
      </w:r>
    </w:p>
    <w:p w:rsidR="001F5583" w:rsidRDefault="00A859C0">
      <w:pPr>
        <w:pStyle w:val="ConsPlusNormal0"/>
        <w:jc w:val="right"/>
      </w:pPr>
      <w:r>
        <w:t>граждан, проходящих углубленную</w:t>
      </w:r>
    </w:p>
    <w:p w:rsidR="001F5583" w:rsidRDefault="00A859C0">
      <w:pPr>
        <w:pStyle w:val="ConsPlusNormal0"/>
        <w:jc w:val="right"/>
      </w:pPr>
      <w:r>
        <w:t>диспансеризацию в первоочередном</w:t>
      </w:r>
    </w:p>
    <w:p w:rsidR="001F5583" w:rsidRDefault="00A859C0">
      <w:pPr>
        <w:pStyle w:val="ConsPlusNormal0"/>
        <w:jc w:val="right"/>
      </w:pPr>
      <w:r>
        <w:t>порядке, утвержденному приказом</w:t>
      </w:r>
    </w:p>
    <w:p w:rsidR="001F5583" w:rsidRDefault="00A859C0">
      <w:pPr>
        <w:pStyle w:val="ConsPlusNormal0"/>
        <w:jc w:val="right"/>
      </w:pPr>
      <w:r>
        <w:t>Министерства здравоохранения</w:t>
      </w:r>
    </w:p>
    <w:p w:rsidR="001F5583" w:rsidRDefault="00A859C0">
      <w:pPr>
        <w:pStyle w:val="ConsPlusNormal0"/>
        <w:jc w:val="right"/>
      </w:pPr>
      <w:r>
        <w:t>Российской Федерации</w:t>
      </w:r>
    </w:p>
    <w:p w:rsidR="001F5583" w:rsidRDefault="00A859C0">
      <w:pPr>
        <w:pStyle w:val="ConsPlusNormal0"/>
        <w:jc w:val="right"/>
      </w:pPr>
      <w:r>
        <w:t>от 1 июля 2021 г. N 698н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Title0"/>
        <w:jc w:val="center"/>
      </w:pPr>
      <w:bookmarkStart w:id="1" w:name="P105"/>
      <w:bookmarkEnd w:id="1"/>
      <w:r>
        <w:t>КАТЕГОРИИ</w:t>
      </w:r>
    </w:p>
    <w:p w:rsidR="001F5583" w:rsidRDefault="00A859C0">
      <w:pPr>
        <w:pStyle w:val="ConsPlusTitle0"/>
        <w:jc w:val="center"/>
      </w:pPr>
      <w:r>
        <w:t>ГРАЖДАН, ПРОХОДЯЩИХ УГЛУБЛЕННУЮ ДИСПАНСЕРИЗАЦИЮ</w:t>
      </w:r>
    </w:p>
    <w:p w:rsidR="001F5583" w:rsidRDefault="00A859C0">
      <w:pPr>
        <w:pStyle w:val="ConsPlusTitle0"/>
        <w:jc w:val="center"/>
      </w:pPr>
      <w:r>
        <w:t>В ПЕРВООЧЕРЕДНОМ ПОРЯДКЕ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A859C0">
      <w:pPr>
        <w:pStyle w:val="ConsPlusNormal0"/>
        <w:ind w:firstLine="540"/>
        <w:jc w:val="both"/>
      </w:pPr>
      <w:bookmarkStart w:id="2" w:name="P109"/>
      <w:bookmarkEnd w:id="2"/>
      <w:r>
        <w:t>1. Граждане, перенесшие новую коронавирусную инфекцию COVID-19, при наличии двух и более хронических неинфекционных заболеваний.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При этом учитываются коды по </w:t>
      </w:r>
      <w:hyperlink r:id="rId26" w:tooltip="Ссылка на КонсультантПлюс">
        <w:r>
          <w:rPr>
            <w:color w:val="0000FF"/>
          </w:rPr>
          <w:t>МКБ-10</w:t>
        </w:r>
      </w:hyperlink>
      <w:r>
        <w:t xml:space="preserve"> &lt;1&gt; хронических неинфекционных заболеваний по следующим группам: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&lt;1&gt; Международная статистическая </w:t>
      </w:r>
      <w:hyperlink r:id="rId27" w:tooltip="Ссылка на КонсультантПлюс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здоровьем, 10-го пересмотра.</w:t>
      </w:r>
    </w:p>
    <w:p w:rsidR="001F5583" w:rsidRDefault="001F5583">
      <w:pPr>
        <w:pStyle w:val="ConsPlusNormal0"/>
        <w:ind w:firstLine="540"/>
        <w:jc w:val="both"/>
      </w:pPr>
    </w:p>
    <w:p w:rsidR="001F5583" w:rsidRPr="00A859C0" w:rsidRDefault="00A859C0">
      <w:pPr>
        <w:pStyle w:val="ConsPlusNormal0"/>
        <w:ind w:firstLine="540"/>
        <w:jc w:val="both"/>
        <w:rPr>
          <w:lang w:val="en-US"/>
        </w:rPr>
      </w:pPr>
      <w:r w:rsidRPr="00A859C0">
        <w:rPr>
          <w:lang w:val="en-US"/>
        </w:rPr>
        <w:t xml:space="preserve">1 </w:t>
      </w:r>
      <w:r>
        <w:t>группа</w:t>
      </w:r>
      <w:r w:rsidRPr="00A859C0">
        <w:rPr>
          <w:lang w:val="en-US"/>
        </w:rPr>
        <w:t xml:space="preserve"> - </w:t>
      </w:r>
      <w:hyperlink r:id="rId28" w:tooltip="Ссылка на КонсультантПлюс">
        <w:r w:rsidRPr="00A859C0">
          <w:rPr>
            <w:color w:val="0000FF"/>
            <w:lang w:val="en-US"/>
          </w:rPr>
          <w:t>I10</w:t>
        </w:r>
      </w:hyperlink>
      <w:r w:rsidRPr="00A859C0">
        <w:rPr>
          <w:lang w:val="en-US"/>
        </w:rPr>
        <w:t xml:space="preserve">, </w:t>
      </w:r>
      <w:hyperlink r:id="rId29" w:tooltip="Ссылка на КонсультантПлюс">
        <w:r w:rsidRPr="00A859C0">
          <w:rPr>
            <w:color w:val="0000FF"/>
            <w:lang w:val="en-US"/>
          </w:rPr>
          <w:t>I11</w:t>
        </w:r>
      </w:hyperlink>
      <w:r w:rsidRPr="00A859C0">
        <w:rPr>
          <w:lang w:val="en-US"/>
        </w:rPr>
        <w:t xml:space="preserve">, </w:t>
      </w:r>
      <w:hyperlink r:id="rId30" w:tooltip="Ссылка на КонсультантПлюс">
        <w:r w:rsidRPr="00A859C0">
          <w:rPr>
            <w:color w:val="0000FF"/>
            <w:lang w:val="en-US"/>
          </w:rPr>
          <w:t>I12</w:t>
        </w:r>
      </w:hyperlink>
      <w:r w:rsidRPr="00A859C0">
        <w:rPr>
          <w:lang w:val="en-US"/>
        </w:rPr>
        <w:t xml:space="preserve">, </w:t>
      </w:r>
      <w:hyperlink r:id="rId31" w:tooltip="Ссылка на КонсультантПлюс">
        <w:r w:rsidRPr="00A859C0">
          <w:rPr>
            <w:color w:val="0000FF"/>
            <w:lang w:val="en-US"/>
          </w:rPr>
          <w:t>I13</w:t>
        </w:r>
      </w:hyperlink>
      <w:r w:rsidRPr="00A859C0">
        <w:rPr>
          <w:lang w:val="en-US"/>
        </w:rPr>
        <w:t xml:space="preserve">, </w:t>
      </w:r>
      <w:hyperlink r:id="rId32" w:tooltip="Ссылка на КонсультантПлюс">
        <w:r w:rsidRPr="00A859C0">
          <w:rPr>
            <w:color w:val="0000FF"/>
            <w:lang w:val="en-US"/>
          </w:rPr>
          <w:t>I15</w:t>
        </w:r>
      </w:hyperlink>
      <w:r w:rsidRPr="00A859C0">
        <w:rPr>
          <w:lang w:val="en-US"/>
        </w:rPr>
        <w:t xml:space="preserve">, </w:t>
      </w:r>
      <w:hyperlink r:id="rId33" w:tooltip="Ссылка на КонсультантПлюс">
        <w:r w:rsidRPr="00A859C0">
          <w:rPr>
            <w:color w:val="0000FF"/>
            <w:lang w:val="en-US"/>
          </w:rPr>
          <w:t>I20.1</w:t>
        </w:r>
      </w:hyperlink>
      <w:r w:rsidRPr="00A859C0">
        <w:rPr>
          <w:lang w:val="en-US"/>
        </w:rPr>
        <w:t xml:space="preserve">, </w:t>
      </w:r>
      <w:hyperlink r:id="rId34" w:tooltip="Ссылка на КонсультантПлюс">
        <w:r w:rsidRPr="00A859C0">
          <w:rPr>
            <w:color w:val="0000FF"/>
            <w:lang w:val="en-US"/>
          </w:rPr>
          <w:t>I20.8</w:t>
        </w:r>
      </w:hyperlink>
      <w:r w:rsidRPr="00A859C0">
        <w:rPr>
          <w:lang w:val="en-US"/>
        </w:rPr>
        <w:t xml:space="preserve">, </w:t>
      </w:r>
      <w:hyperlink r:id="rId35" w:tooltip="Ссылка на КонсультантПлюс">
        <w:r w:rsidRPr="00A859C0">
          <w:rPr>
            <w:color w:val="0000FF"/>
            <w:lang w:val="en-US"/>
          </w:rPr>
          <w:t>I20.8</w:t>
        </w:r>
      </w:hyperlink>
      <w:r w:rsidRPr="00A859C0">
        <w:rPr>
          <w:lang w:val="en-US"/>
        </w:rPr>
        <w:t xml:space="preserve">, </w:t>
      </w:r>
      <w:hyperlink r:id="rId36" w:tooltip="Ссылка на КонсультантПлюс">
        <w:r w:rsidRPr="00A859C0">
          <w:rPr>
            <w:color w:val="0000FF"/>
            <w:lang w:val="en-US"/>
          </w:rPr>
          <w:t>I20.9</w:t>
        </w:r>
      </w:hyperlink>
      <w:r w:rsidRPr="00A859C0">
        <w:rPr>
          <w:lang w:val="en-US"/>
        </w:rPr>
        <w:t xml:space="preserve">, </w:t>
      </w:r>
      <w:hyperlink r:id="rId37" w:tooltip="Ссылка на КонсультантПлюс">
        <w:r w:rsidRPr="00A859C0">
          <w:rPr>
            <w:color w:val="0000FF"/>
            <w:lang w:val="en-US"/>
          </w:rPr>
          <w:t>I25.0</w:t>
        </w:r>
      </w:hyperlink>
      <w:r w:rsidRPr="00A859C0">
        <w:rPr>
          <w:lang w:val="en-US"/>
        </w:rPr>
        <w:t xml:space="preserve">, </w:t>
      </w:r>
      <w:hyperlink r:id="rId38" w:tooltip="Ссылка на КонсультантПлюс">
        <w:r w:rsidRPr="00A859C0">
          <w:rPr>
            <w:color w:val="0000FF"/>
            <w:lang w:val="en-US"/>
          </w:rPr>
          <w:t>I25.1</w:t>
        </w:r>
      </w:hyperlink>
      <w:r w:rsidRPr="00A859C0">
        <w:rPr>
          <w:lang w:val="en-US"/>
        </w:rPr>
        <w:t xml:space="preserve">, </w:t>
      </w:r>
      <w:hyperlink r:id="rId39" w:tooltip="Ссылка на КонсультантПлюс">
        <w:r w:rsidRPr="00A859C0">
          <w:rPr>
            <w:color w:val="0000FF"/>
            <w:lang w:val="en-US"/>
          </w:rPr>
          <w:t>I25.2</w:t>
        </w:r>
      </w:hyperlink>
      <w:r w:rsidRPr="00A859C0">
        <w:rPr>
          <w:lang w:val="en-US"/>
        </w:rPr>
        <w:t xml:space="preserve">, </w:t>
      </w:r>
      <w:hyperlink r:id="rId40" w:tooltip="Ссылка на КонсультантПлюс">
        <w:r w:rsidRPr="00A859C0">
          <w:rPr>
            <w:color w:val="0000FF"/>
            <w:lang w:val="en-US"/>
          </w:rPr>
          <w:t>I25.5</w:t>
        </w:r>
      </w:hyperlink>
      <w:r w:rsidRPr="00A859C0">
        <w:rPr>
          <w:lang w:val="en-US"/>
        </w:rPr>
        <w:t xml:space="preserve">, </w:t>
      </w:r>
      <w:hyperlink r:id="rId41" w:tooltip="Ссылка на КонсультантПлюс">
        <w:r w:rsidRPr="00A859C0">
          <w:rPr>
            <w:color w:val="0000FF"/>
            <w:lang w:val="en-US"/>
          </w:rPr>
          <w:t>I25.6</w:t>
        </w:r>
      </w:hyperlink>
      <w:r w:rsidRPr="00A859C0">
        <w:rPr>
          <w:lang w:val="en-US"/>
        </w:rPr>
        <w:t xml:space="preserve">, </w:t>
      </w:r>
      <w:hyperlink r:id="rId42" w:tooltip="Ссылка на КонсультантПлюс">
        <w:r w:rsidRPr="00A859C0">
          <w:rPr>
            <w:color w:val="0000FF"/>
            <w:lang w:val="en-US"/>
          </w:rPr>
          <w:t>I25.8</w:t>
        </w:r>
      </w:hyperlink>
      <w:r w:rsidRPr="00A859C0">
        <w:rPr>
          <w:lang w:val="en-US"/>
        </w:rPr>
        <w:t xml:space="preserve">, </w:t>
      </w:r>
      <w:hyperlink r:id="rId43" w:tooltip="Ссылка на КонсультантПлюс">
        <w:r w:rsidRPr="00A859C0">
          <w:rPr>
            <w:color w:val="0000FF"/>
            <w:lang w:val="en-US"/>
          </w:rPr>
          <w:t>I25.9</w:t>
        </w:r>
      </w:hyperlink>
      <w:r w:rsidRPr="00A859C0">
        <w:rPr>
          <w:lang w:val="en-US"/>
        </w:rPr>
        <w:t>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2 группа - </w:t>
      </w:r>
      <w:hyperlink r:id="rId44" w:tooltip="Ссылка на КонсультантПлюс">
        <w:r>
          <w:rPr>
            <w:color w:val="0000FF"/>
          </w:rPr>
          <w:t>I48</w:t>
        </w:r>
      </w:hyperlink>
      <w:r>
        <w:t>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3 группа - </w:t>
      </w:r>
      <w:hyperlink r:id="rId45" w:tooltip="Ссылка на КонсультантПлюс">
        <w:r>
          <w:rPr>
            <w:color w:val="0000FF"/>
          </w:rPr>
          <w:t>E11</w:t>
        </w:r>
      </w:hyperlink>
      <w:r>
        <w:t>;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4 группа - </w:t>
      </w:r>
      <w:hyperlink r:id="rId46" w:tooltip="Ссылка на КонсультантПлюс">
        <w:r>
          <w:rPr>
            <w:color w:val="0000FF"/>
          </w:rPr>
          <w:t>J44.0</w:t>
        </w:r>
      </w:hyperlink>
      <w:r>
        <w:t xml:space="preserve">, </w:t>
      </w:r>
      <w:hyperlink r:id="rId47" w:tooltip="Ссылка на КонсультантПлюс">
        <w:r>
          <w:rPr>
            <w:color w:val="0000FF"/>
          </w:rPr>
          <w:t>J44.8</w:t>
        </w:r>
      </w:hyperlink>
      <w:r>
        <w:t xml:space="preserve">, </w:t>
      </w:r>
      <w:hyperlink r:id="rId48" w:tooltip="Ссылка на КонсультантПлюс">
        <w:r>
          <w:rPr>
            <w:color w:val="0000FF"/>
          </w:rPr>
          <w:t>J44.9</w:t>
        </w:r>
      </w:hyperlink>
      <w:r>
        <w:t>;</w:t>
      </w:r>
    </w:p>
    <w:p w:rsidR="001F5583" w:rsidRPr="00A859C0" w:rsidRDefault="00A859C0">
      <w:pPr>
        <w:pStyle w:val="ConsPlusNormal0"/>
        <w:spacing w:before="240"/>
        <w:ind w:firstLine="540"/>
        <w:jc w:val="both"/>
        <w:rPr>
          <w:lang w:val="en-US"/>
        </w:rPr>
      </w:pPr>
      <w:r w:rsidRPr="00A859C0">
        <w:rPr>
          <w:lang w:val="en-US"/>
        </w:rPr>
        <w:t xml:space="preserve">5 </w:t>
      </w:r>
      <w:r>
        <w:t>группа</w:t>
      </w:r>
      <w:r w:rsidRPr="00A859C0">
        <w:rPr>
          <w:lang w:val="en-US"/>
        </w:rPr>
        <w:t xml:space="preserve"> - </w:t>
      </w:r>
      <w:hyperlink r:id="rId49" w:tooltip="Ссылка на КонсультантПлюс">
        <w:r w:rsidRPr="00A859C0">
          <w:rPr>
            <w:color w:val="0000FF"/>
            <w:lang w:val="en-US"/>
          </w:rPr>
          <w:t>I69.0</w:t>
        </w:r>
      </w:hyperlink>
      <w:r w:rsidRPr="00A859C0">
        <w:rPr>
          <w:lang w:val="en-US"/>
        </w:rPr>
        <w:t xml:space="preserve">, </w:t>
      </w:r>
      <w:hyperlink r:id="rId50" w:tooltip="Ссылка на КонсультантПлюс">
        <w:r w:rsidRPr="00A859C0">
          <w:rPr>
            <w:color w:val="0000FF"/>
            <w:lang w:val="en-US"/>
          </w:rPr>
          <w:t>I69.1</w:t>
        </w:r>
      </w:hyperlink>
      <w:r w:rsidRPr="00A859C0">
        <w:rPr>
          <w:lang w:val="en-US"/>
        </w:rPr>
        <w:t xml:space="preserve">, </w:t>
      </w:r>
      <w:hyperlink r:id="rId51" w:tooltip="Ссылка на КонсультантПлюс">
        <w:r w:rsidRPr="00A859C0">
          <w:rPr>
            <w:color w:val="0000FF"/>
            <w:lang w:val="en-US"/>
          </w:rPr>
          <w:t>I69.2</w:t>
        </w:r>
      </w:hyperlink>
      <w:r w:rsidRPr="00A859C0">
        <w:rPr>
          <w:lang w:val="en-US"/>
        </w:rPr>
        <w:t xml:space="preserve">, </w:t>
      </w:r>
      <w:hyperlink r:id="rId52" w:tooltip="Ссылка на КонсультантПлюс">
        <w:r w:rsidRPr="00A859C0">
          <w:rPr>
            <w:color w:val="0000FF"/>
            <w:lang w:val="en-US"/>
          </w:rPr>
          <w:t>I69.3</w:t>
        </w:r>
      </w:hyperlink>
      <w:r w:rsidRPr="00A859C0">
        <w:rPr>
          <w:lang w:val="en-US"/>
        </w:rPr>
        <w:t xml:space="preserve">, </w:t>
      </w:r>
      <w:hyperlink r:id="rId53" w:tooltip="Ссылка на КонсультантПлюс">
        <w:r w:rsidRPr="00A859C0">
          <w:rPr>
            <w:color w:val="0000FF"/>
            <w:lang w:val="en-US"/>
          </w:rPr>
          <w:t>I69.4</w:t>
        </w:r>
      </w:hyperlink>
      <w:r w:rsidRPr="00A859C0">
        <w:rPr>
          <w:lang w:val="en-US"/>
        </w:rPr>
        <w:t xml:space="preserve">, </w:t>
      </w:r>
      <w:hyperlink r:id="rId54" w:tooltip="Ссылка на КонсультантПлюс">
        <w:r w:rsidRPr="00A859C0">
          <w:rPr>
            <w:color w:val="0000FF"/>
            <w:lang w:val="en-US"/>
          </w:rPr>
          <w:t>I67.8</w:t>
        </w:r>
      </w:hyperlink>
      <w:r w:rsidRPr="00A859C0">
        <w:rPr>
          <w:lang w:val="en-US"/>
        </w:rPr>
        <w:t>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 xml:space="preserve">Наличие двух и более хронических неинфекционных заболеваний у гражданина определяется при наличии кода по </w:t>
      </w:r>
      <w:hyperlink r:id="rId55" w:tooltip="Ссылка на КонсультантПлюс">
        <w:r>
          <w:rPr>
            <w:color w:val="0000FF"/>
          </w:rPr>
          <w:t>МКБ-10</w:t>
        </w:r>
      </w:hyperlink>
      <w:r>
        <w:t xml:space="preserve"> из 1 группы в соч</w:t>
      </w:r>
      <w:r>
        <w:t xml:space="preserve">етании с одним и более кодом по </w:t>
      </w:r>
      <w:hyperlink r:id="rId56" w:tooltip="Ссылка на КонсультантПлюс">
        <w:r>
          <w:rPr>
            <w:color w:val="0000FF"/>
          </w:rPr>
          <w:t>МКБ-10</w:t>
        </w:r>
      </w:hyperlink>
      <w:r>
        <w:t xml:space="preserve"> из 2 - 5 групп.</w:t>
      </w:r>
    </w:p>
    <w:p w:rsidR="001F5583" w:rsidRDefault="00A859C0">
      <w:pPr>
        <w:pStyle w:val="ConsPlusNormal0"/>
        <w:spacing w:before="240"/>
        <w:ind w:firstLine="540"/>
        <w:jc w:val="both"/>
      </w:pPr>
      <w:r>
        <w:t>2. Граждане, перенесшие новую коронавирусную инфекцию COVID-19, не относящиес</w:t>
      </w:r>
      <w:r>
        <w:t xml:space="preserve">я к категории, указанной в </w:t>
      </w:r>
      <w:hyperlink w:anchor="P109" w:tooltip="1. Граждане, перенесшие новую коронавирусную инфекцию COVID-19, при наличии двух и более хронических неинфекционных заболеваний.">
        <w:r>
          <w:rPr>
            <w:color w:val="0000FF"/>
          </w:rPr>
          <w:t>пункте 1</w:t>
        </w:r>
      </w:hyperlink>
      <w:r>
        <w:t xml:space="preserve"> настоящего Приложения.</w:t>
      </w: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ind w:firstLine="540"/>
        <w:jc w:val="both"/>
      </w:pPr>
    </w:p>
    <w:p w:rsidR="001F5583" w:rsidRDefault="001F558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F5583" w:rsidSect="001F5583">
      <w:headerReference w:type="default" r:id="rId57"/>
      <w:footerReference w:type="default" r:id="rId58"/>
      <w:headerReference w:type="first" r:id="rId59"/>
      <w:footerReference w:type="first" r:id="rId6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583" w:rsidRDefault="001F5583" w:rsidP="001F5583">
      <w:r>
        <w:separator/>
      </w:r>
    </w:p>
  </w:endnote>
  <w:endnote w:type="continuationSeparator" w:id="0">
    <w:p w:rsidR="001F5583" w:rsidRDefault="001F5583" w:rsidP="001F5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583" w:rsidRDefault="001F558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1F558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F5583" w:rsidRDefault="00A859C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F5583" w:rsidRDefault="001F5583">
          <w:pPr>
            <w:pStyle w:val="ConsPlusNormal0"/>
            <w:jc w:val="center"/>
          </w:pPr>
          <w:hyperlink r:id="rId1">
            <w:r w:rsidR="00A859C0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F5583" w:rsidRDefault="00A859C0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1F5583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1F5583"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 w:rsidR="001F5583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1F5583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1F5583"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 w:rsidR="001F5583">
            <w:fldChar w:fldCharType="end"/>
          </w:r>
        </w:p>
      </w:tc>
    </w:tr>
  </w:tbl>
  <w:p w:rsidR="001F5583" w:rsidRDefault="00A859C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583" w:rsidRDefault="001F558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1F558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F5583" w:rsidRDefault="00A859C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F5583" w:rsidRDefault="001F5583">
          <w:pPr>
            <w:pStyle w:val="ConsPlusNormal0"/>
            <w:jc w:val="center"/>
          </w:pPr>
          <w:hyperlink r:id="rId1">
            <w:r w:rsidR="00A859C0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F5583" w:rsidRDefault="00A859C0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1F5583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1F5583"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 w:rsidR="001F5583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1F5583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1F5583"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 w:rsidR="001F5583">
            <w:fldChar w:fldCharType="end"/>
          </w:r>
        </w:p>
      </w:tc>
    </w:tr>
  </w:tbl>
  <w:p w:rsidR="001F5583" w:rsidRDefault="00A859C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583" w:rsidRDefault="001F5583" w:rsidP="001F5583">
      <w:r>
        <w:separator/>
      </w:r>
    </w:p>
  </w:footnote>
  <w:footnote w:type="continuationSeparator" w:id="0">
    <w:p w:rsidR="001F5583" w:rsidRDefault="001F5583" w:rsidP="001F5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1F558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F5583" w:rsidRDefault="00A859C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01.07.2021 N 698н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направления граждан на прохождение углубленной дисп...</w:t>
          </w:r>
        </w:p>
      </w:tc>
      <w:tc>
        <w:tcPr>
          <w:tcW w:w="2300" w:type="pct"/>
          <w:vAlign w:val="center"/>
        </w:tcPr>
        <w:p w:rsidR="001F5583" w:rsidRDefault="00A859C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1F5583" w:rsidRDefault="001F558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F5583" w:rsidRDefault="001F5583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1F558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F5583" w:rsidRDefault="00A859C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01.07.2021 N 698н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направления граждан на прохождение углубленной дисп...</w:t>
          </w:r>
        </w:p>
      </w:tc>
      <w:tc>
        <w:tcPr>
          <w:tcW w:w="2300" w:type="pct"/>
          <w:vAlign w:val="center"/>
        </w:tcPr>
        <w:p w:rsidR="001F5583" w:rsidRDefault="00A859C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1F5583" w:rsidRDefault="001F558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F5583" w:rsidRDefault="001F5583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F5583"/>
    <w:rsid w:val="001F5583"/>
    <w:rsid w:val="00A85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1F5583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1F5583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1F5583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1F5583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1F5583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1F5583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1F5583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1F5583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1F5583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1F5583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1F5583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1F5583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1F5583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859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9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7392&amp;date=17.02.2025&amp;dst=100022&amp;field=134" TargetMode="External"/><Relationship Id="rId18" Type="http://schemas.openxmlformats.org/officeDocument/2006/relationships/hyperlink" Target="http://pravo.gov.ru" TargetMode="External"/><Relationship Id="rId26" Type="http://schemas.openxmlformats.org/officeDocument/2006/relationships/hyperlink" Target="https://login.consultant.ru/link/?req=doc&amp;base=EXP&amp;n=731991&amp;date=17.02.2025" TargetMode="External"/><Relationship Id="rId39" Type="http://schemas.openxmlformats.org/officeDocument/2006/relationships/hyperlink" Target="https://login.consultant.ru/link/?req=doc&amp;base=EXP&amp;n=731991&amp;date=17.02.2025&amp;dst=141060&amp;field=134" TargetMode="External"/><Relationship Id="rId21" Type="http://schemas.openxmlformats.org/officeDocument/2006/relationships/hyperlink" Target="https://login.consultant.ru/link/?req=doc&amp;base=LAW&amp;n=141711&amp;date=17.02.2025&amp;dst=100123&amp;field=134" TargetMode="External"/><Relationship Id="rId34" Type="http://schemas.openxmlformats.org/officeDocument/2006/relationships/hyperlink" Target="https://login.consultant.ru/link/?req=doc&amp;base=EXP&amp;n=731991&amp;date=17.02.2025&amp;dst=140991&amp;field=134" TargetMode="External"/><Relationship Id="rId42" Type="http://schemas.openxmlformats.org/officeDocument/2006/relationships/hyperlink" Target="https://login.consultant.ru/link/?req=doc&amp;base=EXP&amp;n=731991&amp;date=17.02.2025&amp;dst=141067&amp;field=134" TargetMode="External"/><Relationship Id="rId47" Type="http://schemas.openxmlformats.org/officeDocument/2006/relationships/hyperlink" Target="https://login.consultant.ru/link/?req=doc&amp;base=EXP&amp;n=731991&amp;date=17.02.2025&amp;dst=142236&amp;field=134" TargetMode="External"/><Relationship Id="rId50" Type="http://schemas.openxmlformats.org/officeDocument/2006/relationships/hyperlink" Target="https://login.consultant.ru/link/?req=doc&amp;base=EXP&amp;n=731991&amp;date=17.02.2025&amp;dst=141461&amp;field=134" TargetMode="External"/><Relationship Id="rId55" Type="http://schemas.openxmlformats.org/officeDocument/2006/relationships/hyperlink" Target="https://login.consultant.ru/link/?req=doc&amp;base=EXP&amp;n=731991&amp;date=17.02.2025" TargetMode="Externa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01064&amp;date=17.02.2025&amp;dst=108129&amp;field=134" TargetMode="External"/><Relationship Id="rId20" Type="http://schemas.openxmlformats.org/officeDocument/2006/relationships/hyperlink" Target="https://login.consultant.ru/link/?req=doc&amp;base=LAW&amp;n=141711&amp;date=17.02.2025&amp;dst=100005&amp;field=134" TargetMode="External"/><Relationship Id="rId29" Type="http://schemas.openxmlformats.org/officeDocument/2006/relationships/hyperlink" Target="https://login.consultant.ru/link/?req=doc&amp;base=EXP&amp;n=731991&amp;date=17.02.2025&amp;dst=107137&amp;field=134" TargetMode="External"/><Relationship Id="rId41" Type="http://schemas.openxmlformats.org/officeDocument/2006/relationships/hyperlink" Target="https://login.consultant.ru/link/?req=doc&amp;base=EXP&amp;n=731991&amp;date=17.02.2025&amp;dst=141066&amp;field=134" TargetMode="External"/><Relationship Id="rId54" Type="http://schemas.openxmlformats.org/officeDocument/2006/relationships/hyperlink" Target="https://login.consultant.ru/link/?req=doc&amp;base=EXP&amp;n=731991&amp;date=17.02.2025&amp;dst=141467&amp;field=134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89328&amp;date=17.02.2025&amp;dst=265&amp;field=134" TargetMode="External"/><Relationship Id="rId24" Type="http://schemas.openxmlformats.org/officeDocument/2006/relationships/hyperlink" Target="https://login.consultant.ru/link/?req=doc&amp;base=LAW&amp;n=476883&amp;date=17.02.2025&amp;dst=100042&amp;field=134" TargetMode="External"/><Relationship Id="rId32" Type="http://schemas.openxmlformats.org/officeDocument/2006/relationships/hyperlink" Target="https://login.consultant.ru/link/?req=doc&amp;base=EXP&amp;n=731991&amp;date=17.02.2025&amp;dst=107180&amp;field=134" TargetMode="External"/><Relationship Id="rId37" Type="http://schemas.openxmlformats.org/officeDocument/2006/relationships/hyperlink" Target="https://login.consultant.ru/link/?req=doc&amp;base=EXP&amp;n=731991&amp;date=17.02.2025&amp;dst=141057&amp;field=134" TargetMode="External"/><Relationship Id="rId40" Type="http://schemas.openxmlformats.org/officeDocument/2006/relationships/hyperlink" Target="https://login.consultant.ru/link/?req=doc&amp;base=EXP&amp;n=731991&amp;date=17.02.2025&amp;dst=141065&amp;field=134" TargetMode="External"/><Relationship Id="rId45" Type="http://schemas.openxmlformats.org/officeDocument/2006/relationships/hyperlink" Target="https://login.consultant.ru/link/?req=doc&amp;base=EXP&amp;n=731991&amp;date=17.02.2025&amp;dst=103789&amp;field=134" TargetMode="External"/><Relationship Id="rId53" Type="http://schemas.openxmlformats.org/officeDocument/2006/relationships/hyperlink" Target="https://login.consultant.ru/link/?req=doc&amp;base=EXP&amp;n=731991&amp;date=17.02.2025&amp;dst=141465&amp;field=134" TargetMode="External"/><Relationship Id="rId58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27147&amp;date=17.02.2025&amp;dst=100010&amp;field=134" TargetMode="External"/><Relationship Id="rId23" Type="http://schemas.openxmlformats.org/officeDocument/2006/relationships/hyperlink" Target="http://pravo.gov.ru" TargetMode="External"/><Relationship Id="rId28" Type="http://schemas.openxmlformats.org/officeDocument/2006/relationships/hyperlink" Target="https://login.consultant.ru/link/?req=doc&amp;base=EXP&amp;n=731991&amp;date=17.02.2025&amp;dst=107133&amp;field=134" TargetMode="External"/><Relationship Id="rId36" Type="http://schemas.openxmlformats.org/officeDocument/2006/relationships/hyperlink" Target="https://login.consultant.ru/link/?req=doc&amp;base=EXP&amp;n=731991&amp;date=17.02.2025&amp;dst=140992&amp;field=134" TargetMode="External"/><Relationship Id="rId49" Type="http://schemas.openxmlformats.org/officeDocument/2006/relationships/hyperlink" Target="https://login.consultant.ru/link/?req=doc&amp;base=EXP&amp;n=731991&amp;date=17.02.2025&amp;dst=141460&amp;field=134" TargetMode="External"/><Relationship Id="rId57" Type="http://schemas.openxmlformats.org/officeDocument/2006/relationships/header" Target="header1.xml"/><Relationship Id="rId61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287498&amp;date=17.02.2025" TargetMode="External"/><Relationship Id="rId19" Type="http://schemas.openxmlformats.org/officeDocument/2006/relationships/hyperlink" Target="https://login.consultant.ru/link/?req=doc&amp;base=LAW&amp;n=141711&amp;date=17.02.2025&amp;dst=100003&amp;field=134" TargetMode="External"/><Relationship Id="rId31" Type="http://schemas.openxmlformats.org/officeDocument/2006/relationships/hyperlink" Target="https://login.consultant.ru/link/?req=doc&amp;base=EXP&amp;n=731991&amp;date=17.02.2025&amp;dst=107162&amp;field=134" TargetMode="External"/><Relationship Id="rId44" Type="http://schemas.openxmlformats.org/officeDocument/2006/relationships/hyperlink" Target="https://login.consultant.ru/link/?req=doc&amp;base=EXP&amp;n=731991&amp;date=17.02.2025&amp;dst=107509&amp;field=134" TargetMode="External"/><Relationship Id="rId52" Type="http://schemas.openxmlformats.org/officeDocument/2006/relationships/hyperlink" Target="https://login.consultant.ru/link/?req=doc&amp;base=EXP&amp;n=731991&amp;date=17.02.2025&amp;dst=141464&amp;field=134" TargetMode="External"/><Relationship Id="rId6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https://login.consultant.ru/link/?req=doc&amp;base=LAW&amp;n=494972&amp;date=17.02.2025&amp;dst=266&amp;field=134" TargetMode="External"/><Relationship Id="rId22" Type="http://schemas.openxmlformats.org/officeDocument/2006/relationships/hyperlink" Target="https://login.consultant.ru/link/?req=doc&amp;base=LAW&amp;n=494972&amp;date=17.02.2025&amp;dst=351&amp;field=134" TargetMode="External"/><Relationship Id="rId27" Type="http://schemas.openxmlformats.org/officeDocument/2006/relationships/hyperlink" Target="https://login.consultant.ru/link/?req=doc&amp;base=EXP&amp;n=731991&amp;date=17.02.2025" TargetMode="External"/><Relationship Id="rId30" Type="http://schemas.openxmlformats.org/officeDocument/2006/relationships/hyperlink" Target="https://login.consultant.ru/link/?req=doc&amp;base=EXP&amp;n=731991&amp;date=17.02.2025&amp;dst=107147&amp;field=134" TargetMode="External"/><Relationship Id="rId35" Type="http://schemas.openxmlformats.org/officeDocument/2006/relationships/hyperlink" Target="https://login.consultant.ru/link/?req=doc&amp;base=EXP&amp;n=731991&amp;date=17.02.2025&amp;dst=140991&amp;field=134" TargetMode="External"/><Relationship Id="rId43" Type="http://schemas.openxmlformats.org/officeDocument/2006/relationships/hyperlink" Target="https://login.consultant.ru/link/?req=doc&amp;base=EXP&amp;n=731991&amp;date=17.02.2025&amp;dst=141068&amp;field=134" TargetMode="External"/><Relationship Id="rId48" Type="http://schemas.openxmlformats.org/officeDocument/2006/relationships/hyperlink" Target="https://login.consultant.ru/link/?req=doc&amp;base=EXP&amp;n=731991&amp;date=17.02.2025&amp;dst=142238&amp;field=134" TargetMode="External"/><Relationship Id="rId56" Type="http://schemas.openxmlformats.org/officeDocument/2006/relationships/hyperlink" Target="https://login.consultant.ru/link/?req=doc&amp;base=EXP&amp;n=731991&amp;date=17.02.2025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EXP&amp;n=731991&amp;date=17.02.2025&amp;dst=141462&amp;field=13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66517&amp;date=17.02.2025&amp;dst=703&amp;field=134" TargetMode="External"/><Relationship Id="rId17" Type="http://schemas.openxmlformats.org/officeDocument/2006/relationships/hyperlink" Target="https://login.consultant.ru/link/?req=doc&amp;base=LAW&amp;n=494972&amp;date=17.02.2025&amp;dst=100252&amp;field=134" TargetMode="External"/><Relationship Id="rId25" Type="http://schemas.openxmlformats.org/officeDocument/2006/relationships/hyperlink" Target="https://login.consultant.ru/link/?req=doc&amp;base=LAW&amp;n=494972&amp;date=17.02.2025&amp;dst=249&amp;field=134" TargetMode="External"/><Relationship Id="rId33" Type="http://schemas.openxmlformats.org/officeDocument/2006/relationships/hyperlink" Target="https://login.consultant.ru/link/?req=doc&amp;base=EXP&amp;n=731991&amp;date=17.02.2025&amp;dst=140990&amp;field=134" TargetMode="External"/><Relationship Id="rId38" Type="http://schemas.openxmlformats.org/officeDocument/2006/relationships/hyperlink" Target="https://login.consultant.ru/link/?req=doc&amp;base=EXP&amp;n=731991&amp;date=17.02.2025&amp;dst=141059&amp;field=134" TargetMode="External"/><Relationship Id="rId46" Type="http://schemas.openxmlformats.org/officeDocument/2006/relationships/hyperlink" Target="https://login.consultant.ru/link/?req=doc&amp;base=EXP&amp;n=731991&amp;date=17.02.2025&amp;dst=142231&amp;field=134" TargetMode="External"/><Relationship Id="rId5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4061</Words>
  <Characters>23148</Characters>
  <Application>Microsoft Office Word</Application>
  <DocSecurity>0</DocSecurity>
  <Lines>192</Lines>
  <Paragraphs>54</Paragraphs>
  <ScaleCrop>false</ScaleCrop>
  <Company>КонсультантПлюс Версия 4024.00.50</Company>
  <LinksUpToDate>false</LinksUpToDate>
  <CharactersWithSpaces>27155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01.07.2021 N 698н
"Об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порядке"
(Зарегистрировано в Минюсте России 07.07.2021 N 64157)</dc:title>
  <dc:creator>Юрист</dc:creator>
  <cp:lastModifiedBy>Юрист</cp:lastModifiedBy>
  <cp:revision>2</cp:revision>
  <dcterms:created xsi:type="dcterms:W3CDTF">2025-02-17T15:22:00Z</dcterms:created>
  <dcterms:modified xsi:type="dcterms:W3CDTF">2025-02-17T15:22:00Z</dcterms:modified>
</cp:coreProperties>
</file>